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3-why-group-coverage-costs-less"/>
    <w:p>
      <w:pPr>
        <w:pStyle w:val="Heading1"/>
      </w:pPr>
      <w:r>
        <w:t xml:space="preserve">Email 03: Why Group Coverage Costs Less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Why Group Coverage Costs Less Than Going It Alone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The pricing math behind ASA’s group health program.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If you’re buying health insurance on the open market as a small business, you already know the problem. Rates go up every year, and you have zero negotiating power as an individual buyer.</w:t>
      </w:r>
    </w:p>
    <w:p>
      <w:pPr>
        <w:pStyle w:val="BodyText"/>
      </w:pPr>
      <w:r>
        <w:t xml:space="preserve">That’s exactly why we built the ASA Advantage Plan.</w:t>
      </w:r>
    </w:p>
    <w:p>
      <w:pPr>
        <w:pStyle w:val="BodyText"/>
      </w:pPr>
      <w:r>
        <w:t xml:space="preserve">When members enroll through the association, they tap into group purchasing power that no small business can access alone. Instead of negotiating as a company of 5 or 15, you’re part of a pool backed by the full weight of ASA’s membership.</w:t>
      </w:r>
    </w:p>
    <w:p>
      <w:pPr>
        <w:pStyle w:val="BodyText"/>
      </w:pPr>
      <w:r>
        <w:t xml:space="preserve">Savings depend on your state, your team size, and the coverage you’re comparing against. What stays true everywhere: the association rate is built on group buying power, and most members don’t realize how much they’re overpaying until they see the comparison side by side.</w:t>
      </w:r>
    </w:p>
    <w:p>
      <w:pPr>
        <w:pStyle w:val="BodyText"/>
      </w:pPr>
      <w:r>
        <w:t xml:space="preserve">See what your rate would be.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Get your quote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