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08-faq"/>
    <w:p>
      <w:pPr>
        <w:pStyle w:val="Heading1"/>
      </w:pPr>
      <w:r>
        <w:t xml:space="preserve">Email 08: FAQ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Your Questions About the Health Benefits Program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The most common questions from members, with straight answers.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We’ve gotten a lot of questions from members about the ASA health benefits program. Here are the most common ones.</w:t>
      </w:r>
    </w:p>
    <w:p>
      <w:pPr>
        <w:pStyle w:val="BodyText"/>
      </w:pPr>
      <w:r>
        <w:rPr>
          <w:b/>
          <w:bCs/>
        </w:rPr>
        <w:t xml:space="preserve">Who is eligible?</w:t>
      </w:r>
    </w:p>
    <w:p>
      <w:pPr>
        <w:pStyle w:val="BodyText"/>
      </w:pPr>
      <w:r>
        <w:t xml:space="preserve">Any current member of ASA in good standing. If you’re a member, you’re eligible.</w:t>
      </w:r>
    </w:p>
    <w:p>
      <w:pPr>
        <w:pStyle w:val="BodyText"/>
      </w:pPr>
      <w:r>
        <w:rPr>
          <w:b/>
          <w:bCs/>
        </w:rPr>
        <w:t xml:space="preserve">How do I enroll?</w:t>
      </w:r>
    </w:p>
    <w:p>
      <w:pPr>
        <w:pStyle w:val="BodyText"/>
      </w:pPr>
      <w:r>
        <w:t xml:space="preserve">Visit the enrollment link below to see available plans and coverage options. You can also reach out to talk through it with someone.</w:t>
      </w:r>
    </w:p>
    <w:p>
      <w:pPr>
        <w:pStyle w:val="BodyText"/>
      </w:pPr>
      <w:r>
        <w:rPr>
          <w:b/>
          <w:bCs/>
        </w:rPr>
        <w:t xml:space="preserve">Can I cover my family?</w:t>
      </w:r>
    </w:p>
    <w:p>
      <w:pPr>
        <w:pStyle w:val="BodyText"/>
      </w:pPr>
      <w:r>
        <w:t xml:space="preserve">Yes. The program covers spouses and dependents. You can enroll yourself, your family, or both.</w:t>
      </w:r>
    </w:p>
    <w:p>
      <w:pPr>
        <w:pStyle w:val="BodyText"/>
      </w:pPr>
      <w:r>
        <w:rPr>
          <w:b/>
          <w:bCs/>
        </w:rPr>
        <w:t xml:space="preserve">When can I enroll?</w:t>
      </w:r>
    </w:p>
    <w:p>
      <w:pPr>
        <w:pStyle w:val="BodyText"/>
      </w:pPr>
      <w:r>
        <w:t xml:space="preserve">Any time. This program isn’t tied to open enrollment periods. You can enroll midyear, and coverage begins based on your start date. No waiting for January.</w:t>
      </w:r>
    </w:p>
    <w:p>
      <w:pPr>
        <w:pStyle w:val="BodyText"/>
      </w:pPr>
      <w:r>
        <w:rPr>
          <w:b/>
          <w:bCs/>
        </w:rPr>
        <w:t xml:space="preserve">What if I have questions after I enroll?</w:t>
      </w:r>
    </w:p>
    <w:p>
      <w:pPr>
        <w:pStyle w:val="BodyText"/>
      </w:pPr>
      <w:r>
        <w:t xml:space="preserve">Affinity Benefits handles ongoing support directly. You reach out to them, not the association. Questions about your plan, changes to your coverage, billing. All of it goes to Affinity Benefits.</w:t>
      </w:r>
    </w:p>
    <w:p>
      <w:pPr>
        <w:pStyle w:val="BodyText"/>
      </w:pPr>
      <w:r>
        <w:t xml:space="preserve">Still have a question we didn’t cover? We’re here.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See your options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